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546"/>
      </w:tblGrid>
      <w:tr w:rsidR="00C06904" w:rsidRPr="005228C7" w14:paraId="0978B62A" w14:textId="77777777">
        <w:trPr>
          <w:jc w:val="center"/>
        </w:trPr>
        <w:tc>
          <w:tcPr>
            <w:tcW w:w="10546" w:type="dxa"/>
            <w:shd w:val="clear" w:color="auto" w:fill="224B5C"/>
            <w:tcMar>
              <w:top w:w="120" w:type="dxa"/>
              <w:left w:w="140" w:type="dxa"/>
              <w:bottom w:w="110" w:type="dxa"/>
              <w:right w:w="140" w:type="dxa"/>
            </w:tcMar>
          </w:tcPr>
          <w:p w14:paraId="04F0F8B3" w14:textId="77777777" w:rsidR="00C06904" w:rsidRPr="005228C7" w:rsidRDefault="00F93B48">
            <w:pPr>
              <w:spacing w:after="40"/>
              <w:rPr>
                <w:lang w:val="pl-PL"/>
              </w:rPr>
            </w:pPr>
            <w:r w:rsidRPr="005228C7">
              <w:rPr>
                <w:b/>
                <w:color w:val="E8F3F6"/>
                <w:sz w:val="19"/>
                <w:lang w:val="pl-PL"/>
              </w:rPr>
              <w:t>AFTERMOST</w:t>
            </w:r>
          </w:p>
          <w:p w14:paraId="2B81A34D" w14:textId="77777777" w:rsidR="00C06904" w:rsidRPr="005228C7" w:rsidRDefault="00F93B48">
            <w:pPr>
              <w:spacing w:after="40" w:line="240" w:lineRule="auto"/>
              <w:rPr>
                <w:lang w:val="pl-PL"/>
              </w:rPr>
            </w:pPr>
            <w:r w:rsidRPr="005228C7">
              <w:rPr>
                <w:b/>
                <w:color w:val="FFFFFF"/>
                <w:sz w:val="37"/>
                <w:lang w:val="pl-PL"/>
              </w:rPr>
              <w:t>Moduł sCO₂ odzysku ciepła odpadowego</w:t>
            </w:r>
            <w:r w:rsidRPr="005228C7">
              <w:rPr>
                <w:b/>
                <w:color w:val="FFFFFF"/>
                <w:sz w:val="37"/>
                <w:lang w:val="pl-PL"/>
              </w:rPr>
              <w:br/>
              <w:t>z silników tłokowych</w:t>
            </w:r>
          </w:p>
          <w:p w14:paraId="27628443" w14:textId="77777777" w:rsidR="00C06904" w:rsidRPr="005228C7" w:rsidRDefault="00F93B48">
            <w:pPr>
              <w:spacing w:after="0" w:line="245" w:lineRule="auto"/>
              <w:rPr>
                <w:lang w:val="pl-PL"/>
              </w:rPr>
            </w:pPr>
            <w:r w:rsidRPr="005228C7">
              <w:rPr>
                <w:color w:val="D7E8EE"/>
                <w:sz w:val="18"/>
                <w:lang w:val="pl-PL"/>
              </w:rPr>
              <w:t>Zamknięty obieg Braytona z rekuperacją, zintegrowany mechanicznie i cieplnie z gazowym silnikiem tłokowym.</w:t>
            </w:r>
          </w:p>
        </w:tc>
      </w:tr>
    </w:tbl>
    <w:p w14:paraId="55197990" w14:textId="00C24C94" w:rsidR="00BA1EA0" w:rsidRPr="005228C7" w:rsidRDefault="00BA1EA0">
      <w:pPr>
        <w:spacing w:after="40"/>
        <w:rPr>
          <w:lang w:val="pl-PL"/>
        </w:rPr>
      </w:pPr>
      <w:r w:rsidRPr="00BA1EA0">
        <w:rPr>
          <w:lang w:val="pl-PL"/>
        </w:rPr>
        <w:drawing>
          <wp:inline distT="0" distB="0" distL="0" distR="0" wp14:anchorId="09707C4A" wp14:editId="74C354CC">
            <wp:extent cx="4152900" cy="1404252"/>
            <wp:effectExtent l="0" t="0" r="0" b="5715"/>
            <wp:docPr id="16016181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181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8068" cy="142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A1EA0">
        <w:rPr>
          <w:noProof/>
        </w:rPr>
        <w:t xml:space="preserve"> </w:t>
      </w:r>
      <w:r>
        <w:rPr>
          <w:lang w:val="pl-PL"/>
        </w:rPr>
        <w:t xml:space="preserve">                       </w:t>
      </w:r>
      <w:r w:rsidRPr="00BA1EA0">
        <w:rPr>
          <w:lang w:val="pl-PL"/>
        </w:rPr>
        <w:drawing>
          <wp:inline distT="0" distB="0" distL="0" distR="0" wp14:anchorId="656A2FAE" wp14:editId="05D4E340">
            <wp:extent cx="1876425" cy="1416838"/>
            <wp:effectExtent l="0" t="0" r="0" b="0"/>
            <wp:docPr id="20300297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297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695" cy="142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C06904" w:rsidRPr="005228C7" w14:paraId="01CCD5B7" w14:textId="77777777">
        <w:trPr>
          <w:jc w:val="center"/>
        </w:trPr>
        <w:tc>
          <w:tcPr>
            <w:tcW w:w="5273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shd w:val="clear" w:color="auto" w:fill="F3F7F8"/>
            <w:tcMar>
              <w:top w:w="80" w:type="dxa"/>
              <w:left w:w="90" w:type="dxa"/>
              <w:bottom w:w="70" w:type="dxa"/>
              <w:right w:w="90" w:type="dxa"/>
            </w:tcMar>
          </w:tcPr>
          <w:p w14:paraId="1CC274A2" w14:textId="77777777" w:rsidR="00C06904" w:rsidRPr="005228C7" w:rsidRDefault="00C06904">
            <w:pPr>
              <w:spacing w:after="0"/>
              <w:rPr>
                <w:lang w:val="pl-PL"/>
              </w:rPr>
            </w:pPr>
          </w:p>
          <w:p w14:paraId="6B012884" w14:textId="77777777" w:rsidR="00C06904" w:rsidRPr="005228C7" w:rsidRDefault="00F93B48">
            <w:pPr>
              <w:spacing w:after="60" w:line="240" w:lineRule="auto"/>
              <w:rPr>
                <w:lang w:val="pl-PL"/>
              </w:rPr>
            </w:pPr>
            <w:r w:rsidRPr="005228C7">
              <w:rPr>
                <w:b/>
                <w:color w:val="0F3B4C"/>
                <w:sz w:val="20"/>
                <w:lang w:val="pl-PL"/>
              </w:rPr>
              <w:t>Opis produktu</w:t>
            </w:r>
          </w:p>
          <w:p w14:paraId="267C3C9A" w14:textId="342CE82E" w:rsidR="00C06904" w:rsidRPr="005228C7" w:rsidRDefault="00F93B48" w:rsidP="00BA1EA0">
            <w:pPr>
              <w:spacing w:after="0" w:line="259" w:lineRule="auto"/>
              <w:jc w:val="both"/>
              <w:rPr>
                <w:lang w:val="pl-PL"/>
              </w:rPr>
            </w:pPr>
            <w:r w:rsidRPr="005228C7">
              <w:rPr>
                <w:color w:val="222222"/>
                <w:lang w:val="pl-PL"/>
              </w:rPr>
              <w:t xml:space="preserve">Technologia AFTERMOST odzyskuje ciepło spalin silnika tłokowego i przekształca je w dodatkową moc mechaniczną lub elektryczną. Czynnik roboczy stanowi CO₂ sprężany w pobliżu punktu krytycznego, co ogranicza moc sprężania i poprawia potencjał sprawnościowy układu. Prototyp został </w:t>
            </w:r>
            <w:r w:rsidR="001B6E58">
              <w:rPr>
                <w:color w:val="222222"/>
                <w:lang w:val="pl-PL"/>
              </w:rPr>
              <w:t xml:space="preserve">opracowany dla </w:t>
            </w:r>
            <w:r w:rsidRPr="005228C7">
              <w:rPr>
                <w:color w:val="222222"/>
                <w:lang w:val="pl-PL"/>
              </w:rPr>
              <w:t>układ</w:t>
            </w:r>
            <w:r w:rsidR="001B6E58">
              <w:rPr>
                <w:color w:val="222222"/>
                <w:lang w:val="pl-PL"/>
              </w:rPr>
              <w:t>u ze</w:t>
            </w:r>
            <w:r w:rsidRPr="005228C7">
              <w:rPr>
                <w:color w:val="222222"/>
                <w:lang w:val="pl-PL"/>
              </w:rPr>
              <w:t xml:space="preserve"> zintegrowanym z silnikiem</w:t>
            </w:r>
            <w:r w:rsidRPr="005228C7">
              <w:rPr>
                <w:color w:val="222222"/>
                <w:lang w:val="pl-PL"/>
              </w:rPr>
              <w:t>.</w:t>
            </w:r>
          </w:p>
        </w:tc>
        <w:tc>
          <w:tcPr>
            <w:tcW w:w="5273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shd w:val="clear" w:color="auto" w:fill="E7F1F4"/>
            <w:tcMar>
              <w:top w:w="80" w:type="dxa"/>
              <w:left w:w="90" w:type="dxa"/>
              <w:bottom w:w="70" w:type="dxa"/>
              <w:right w:w="90" w:type="dxa"/>
            </w:tcMar>
          </w:tcPr>
          <w:p w14:paraId="072DA21C" w14:textId="77777777" w:rsidR="00C06904" w:rsidRPr="005228C7" w:rsidRDefault="00C06904">
            <w:pPr>
              <w:spacing w:after="0"/>
              <w:rPr>
                <w:lang w:val="pl-PL"/>
              </w:rPr>
            </w:pPr>
          </w:p>
          <w:p w14:paraId="7CB0CE8E" w14:textId="77777777" w:rsidR="00C06904" w:rsidRPr="005228C7" w:rsidRDefault="00F93B48">
            <w:pPr>
              <w:spacing w:after="60" w:line="240" w:lineRule="auto"/>
              <w:rPr>
                <w:lang w:val="pl-PL"/>
              </w:rPr>
            </w:pPr>
            <w:r w:rsidRPr="005228C7">
              <w:rPr>
                <w:b/>
                <w:color w:val="0F3B4C"/>
                <w:sz w:val="20"/>
                <w:lang w:val="pl-PL"/>
              </w:rPr>
              <w:t>Główny rezultat do komercjalizacji</w:t>
            </w:r>
          </w:p>
          <w:p w14:paraId="25F11B3E" w14:textId="77777777" w:rsidR="00C06904" w:rsidRPr="005228C7" w:rsidRDefault="00F93B48" w:rsidP="00BA1EA0">
            <w:pPr>
              <w:spacing w:after="20" w:line="245" w:lineRule="auto"/>
              <w:jc w:val="both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dokumentacja techniczna prototypu sCO₂ i instalacji zintegrowanej z silnikiem</w:t>
            </w:r>
          </w:p>
          <w:p w14:paraId="2DAEE487" w14:textId="77777777" w:rsidR="00C06904" w:rsidRPr="005228C7" w:rsidRDefault="00F93B48" w:rsidP="00BA1EA0">
            <w:pPr>
              <w:spacing w:after="20" w:line="245" w:lineRule="auto"/>
              <w:jc w:val="both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rysunki wytwórcze / wykonawcze kluczowych elementów</w:t>
            </w:r>
          </w:p>
          <w:p w14:paraId="2981E211" w14:textId="77777777" w:rsidR="00C06904" w:rsidRPr="005228C7" w:rsidRDefault="00F93B48" w:rsidP="00BA1EA0">
            <w:pPr>
              <w:spacing w:after="20" w:line="245" w:lineRule="auto"/>
              <w:jc w:val="both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bilanse masy i energii, zestawienia parametrów strumieni i schematy procesowe</w:t>
            </w:r>
          </w:p>
          <w:p w14:paraId="76CA638A" w14:textId="77777777" w:rsidR="00C06904" w:rsidRPr="005228C7" w:rsidRDefault="00F93B48" w:rsidP="00BA1EA0">
            <w:pPr>
              <w:spacing w:after="20" w:line="245" w:lineRule="auto"/>
              <w:jc w:val="both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części: ogólna, technologiczna, mechaniczna, pomiary i automatyka, branża elektroenergetyczna</w:t>
            </w:r>
          </w:p>
          <w:p w14:paraId="4D599C45" w14:textId="77777777" w:rsidR="00C06904" w:rsidRPr="005228C7" w:rsidRDefault="00F93B48" w:rsidP="00BA1EA0">
            <w:pPr>
              <w:spacing w:after="0" w:line="245" w:lineRule="auto"/>
              <w:jc w:val="both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projekt bazowy instalacji dla silnika klasy 500 kW wraz z analizą CAPEX/OPEX</w:t>
            </w:r>
          </w:p>
        </w:tc>
      </w:tr>
    </w:tbl>
    <w:p w14:paraId="2A2F8E5F" w14:textId="77777777" w:rsidR="00C06904" w:rsidRPr="005228C7" w:rsidRDefault="00C06904">
      <w:pPr>
        <w:spacing w:after="20"/>
        <w:rPr>
          <w:lang w:val="pl-PL"/>
        </w:rPr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546"/>
      </w:tblGrid>
      <w:tr w:rsidR="00C06904" w14:paraId="5B308916" w14:textId="77777777">
        <w:trPr>
          <w:jc w:val="center"/>
        </w:trPr>
        <w:tc>
          <w:tcPr>
            <w:tcW w:w="10546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59186" w14:textId="77777777" w:rsidR="00C06904" w:rsidRPr="005228C7" w:rsidRDefault="00C06904">
            <w:pPr>
              <w:spacing w:after="0"/>
              <w:rPr>
                <w:lang w:val="pl-PL"/>
              </w:rPr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73"/>
              <w:gridCol w:w="5273"/>
            </w:tblGrid>
            <w:tr w:rsidR="00C06904" w14:paraId="20099D13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224B5C"/>
                    <w:left w:val="single" w:sz="6" w:space="0" w:color="224B5C"/>
                    <w:bottom w:val="single" w:sz="6" w:space="0" w:color="224B5C"/>
                    <w:right w:val="single" w:sz="6" w:space="0" w:color="224B5C"/>
                  </w:tcBorders>
                  <w:shd w:val="clear" w:color="auto" w:fill="224B5C"/>
                  <w:tcMar>
                    <w:top w:w="60" w:type="dxa"/>
                    <w:left w:w="90" w:type="dxa"/>
                    <w:bottom w:w="50" w:type="dxa"/>
                    <w:right w:w="90" w:type="dxa"/>
                  </w:tcMar>
                </w:tcPr>
                <w:p w14:paraId="225CCFAC" w14:textId="77777777" w:rsidR="00C06904" w:rsidRDefault="00F93B48">
                  <w:pPr>
                    <w:spacing w:after="0"/>
                  </w:pPr>
                  <w:proofErr w:type="spellStart"/>
                  <w:r>
                    <w:rPr>
                      <w:b/>
                      <w:color w:val="FFFFFF"/>
                      <w:sz w:val="19"/>
                    </w:rPr>
                    <w:t>Zweryfikowane</w:t>
                  </w:r>
                  <w:proofErr w:type="spellEnd"/>
                  <w:r>
                    <w:rPr>
                      <w:b/>
                      <w:color w:val="FFFFFF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19"/>
                    </w:rPr>
                    <w:t>dane</w:t>
                  </w:r>
                  <w:proofErr w:type="spellEnd"/>
                  <w:r>
                    <w:rPr>
                      <w:b/>
                      <w:color w:val="FFFFFF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FFFFFF"/>
                      <w:sz w:val="19"/>
                    </w:rPr>
                    <w:t>prototypu</w:t>
                  </w:r>
                  <w:proofErr w:type="spellEnd"/>
                </w:p>
              </w:tc>
              <w:tc>
                <w:tcPr>
                  <w:tcW w:w="5273" w:type="dxa"/>
                  <w:tcBorders>
                    <w:top w:val="single" w:sz="6" w:space="0" w:color="224B5C"/>
                    <w:left w:val="single" w:sz="6" w:space="0" w:color="224B5C"/>
                    <w:bottom w:val="single" w:sz="6" w:space="0" w:color="224B5C"/>
                    <w:right w:val="single" w:sz="6" w:space="0" w:color="224B5C"/>
                  </w:tcBorders>
                  <w:shd w:val="clear" w:color="auto" w:fill="224B5C"/>
                  <w:tcMar>
                    <w:top w:w="60" w:type="dxa"/>
                    <w:left w:w="90" w:type="dxa"/>
                    <w:bottom w:w="50" w:type="dxa"/>
                    <w:right w:w="90" w:type="dxa"/>
                  </w:tcMar>
                </w:tcPr>
                <w:p w14:paraId="5D97B50D" w14:textId="77777777" w:rsidR="00C06904" w:rsidRDefault="00C06904">
                  <w:pPr>
                    <w:spacing w:after="0"/>
                  </w:pPr>
                </w:p>
              </w:tc>
            </w:tr>
            <w:tr w:rsidR="00C06904" w14:paraId="055A5964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2BDBA437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Dodatkowa moc układu sCO₂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2437A24E" w14:textId="54EFD185" w:rsidR="00C06904" w:rsidRDefault="00F93B48">
                  <w:pPr>
                    <w:spacing w:after="0" w:line="245" w:lineRule="auto"/>
                  </w:pPr>
                  <w:proofErr w:type="spellStart"/>
                  <w:r>
                    <w:rPr>
                      <w:color w:val="263238"/>
                      <w:sz w:val="16"/>
                    </w:rPr>
                    <w:t>do</w:t>
                  </w:r>
                  <w:proofErr w:type="spellEnd"/>
                  <w:r>
                    <w:rPr>
                      <w:color w:val="263238"/>
                      <w:sz w:val="16"/>
                    </w:rPr>
                    <w:t xml:space="preserve"> 42,03 kW</w:t>
                  </w:r>
                  <w:r w:rsidR="00BA1EA0">
                    <w:rPr>
                      <w:color w:val="263238"/>
                      <w:sz w:val="16"/>
                    </w:rPr>
                    <w:t xml:space="preserve"> (10% </w:t>
                  </w:r>
                  <w:proofErr w:type="spellStart"/>
                  <w:r w:rsidR="00BA1EA0">
                    <w:rPr>
                      <w:color w:val="263238"/>
                      <w:sz w:val="16"/>
                    </w:rPr>
                    <w:t>mocy</w:t>
                  </w:r>
                  <w:proofErr w:type="spellEnd"/>
                  <w:r w:rsidR="00BA1EA0">
                    <w:rPr>
                      <w:color w:val="263238"/>
                      <w:sz w:val="16"/>
                    </w:rPr>
                    <w:t xml:space="preserve"> </w:t>
                  </w:r>
                  <w:proofErr w:type="spellStart"/>
                  <w:r w:rsidR="00BA1EA0">
                    <w:rPr>
                      <w:color w:val="263238"/>
                      <w:sz w:val="16"/>
                    </w:rPr>
                    <w:t>silnika</w:t>
                  </w:r>
                  <w:proofErr w:type="spellEnd"/>
                  <w:r w:rsidR="00BA1EA0">
                    <w:rPr>
                      <w:color w:val="263238"/>
                      <w:sz w:val="16"/>
                    </w:rPr>
                    <w:t>)</w:t>
                  </w:r>
                </w:p>
              </w:tc>
            </w:tr>
            <w:tr w:rsidR="00C06904" w14:paraId="615E3B5B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7623F6A4" w14:textId="77777777" w:rsidR="00C06904" w:rsidRPr="005228C7" w:rsidRDefault="00F93B48">
                  <w:pPr>
                    <w:spacing w:after="0" w:line="245" w:lineRule="auto"/>
                    <w:rPr>
                      <w:lang w:val="pl-PL"/>
                    </w:rPr>
                  </w:pPr>
                  <w:r w:rsidRPr="005228C7">
                    <w:rPr>
                      <w:b/>
                      <w:color w:val="263238"/>
                      <w:sz w:val="16"/>
                      <w:lang w:val="pl-PL"/>
                    </w:rPr>
                    <w:t>Udział w mocy elektrycznej silnika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5CB9DCF3" w14:textId="2B5B7C2E" w:rsidR="00C06904" w:rsidRDefault="00D34AC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~</w:t>
                  </w:r>
                  <w:r w:rsidR="00F93B48">
                    <w:rPr>
                      <w:color w:val="263238"/>
                      <w:sz w:val="16"/>
                    </w:rPr>
                    <w:t>1</w:t>
                  </w:r>
                  <w:r w:rsidR="00BA1EA0">
                    <w:rPr>
                      <w:color w:val="263238"/>
                      <w:sz w:val="16"/>
                    </w:rPr>
                    <w:t>0</w:t>
                  </w:r>
                  <w:r w:rsidR="00F93B48">
                    <w:rPr>
                      <w:color w:val="263238"/>
                      <w:sz w:val="16"/>
                    </w:rPr>
                    <w:t>,0%</w:t>
                  </w:r>
                </w:p>
              </w:tc>
            </w:tr>
            <w:tr w:rsidR="00C06904" w14:paraId="520C9AAD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7717ED2B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Wydatek masowy CO₂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6BF28607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do 0,915 kg/s</w:t>
                  </w:r>
                </w:p>
              </w:tc>
            </w:tr>
            <w:tr w:rsidR="00C06904" w14:paraId="2C6F6C70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4896BA7C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Ciśnienie CO₂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597D0681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ok. 75,4 / 130,3 bar</w:t>
                  </w:r>
                </w:p>
              </w:tc>
            </w:tr>
            <w:tr w:rsidR="00C06904" w:rsidRPr="005228C7" w14:paraId="41BC75B2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499FDBE7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Temperatura CO₂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14C4173F" w14:textId="77777777" w:rsidR="00C06904" w:rsidRPr="005228C7" w:rsidRDefault="00F93B48">
                  <w:pPr>
                    <w:spacing w:after="0" w:line="245" w:lineRule="auto"/>
                    <w:rPr>
                      <w:lang w:val="pl-PL"/>
                    </w:rPr>
                  </w:pPr>
                  <w:r w:rsidRPr="005228C7">
                    <w:rPr>
                      <w:color w:val="263238"/>
                      <w:sz w:val="16"/>
                      <w:lang w:val="pl-PL"/>
                    </w:rPr>
                    <w:t>35,2°C przed kompresorem</w:t>
                  </w:r>
                  <w:r w:rsidRPr="005228C7">
                    <w:rPr>
                      <w:lang w:val="pl-PL"/>
                    </w:rPr>
                    <w:br/>
                  </w:r>
                  <w:r w:rsidRPr="005228C7">
                    <w:rPr>
                      <w:color w:val="263238"/>
                      <w:sz w:val="16"/>
                      <w:lang w:val="pl-PL"/>
                    </w:rPr>
                    <w:t>397,5°C przed ekspanderem</w:t>
                  </w:r>
                  <w:r w:rsidRPr="005228C7">
                    <w:rPr>
                      <w:lang w:val="pl-PL"/>
                    </w:rPr>
                    <w:br/>
                  </w:r>
                  <w:r w:rsidRPr="005228C7">
                    <w:rPr>
                      <w:color w:val="263238"/>
                      <w:sz w:val="16"/>
                      <w:lang w:val="pl-PL"/>
                    </w:rPr>
                    <w:t>60,8°C za rekuperatorem</w:t>
                  </w:r>
                </w:p>
              </w:tc>
            </w:tr>
            <w:tr w:rsidR="00C06904" w:rsidRPr="005228C7" w14:paraId="0E8EF643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75FC1523" w14:textId="77777777" w:rsidR="00C06904" w:rsidRDefault="00F93B48">
                  <w:pPr>
                    <w:spacing w:after="0" w:line="245" w:lineRule="auto"/>
                  </w:pPr>
                  <w:proofErr w:type="spellStart"/>
                  <w:r>
                    <w:rPr>
                      <w:b/>
                      <w:color w:val="263238"/>
                      <w:sz w:val="16"/>
                    </w:rPr>
                    <w:t>Prędkość</w:t>
                  </w:r>
                  <w:proofErr w:type="spellEnd"/>
                  <w:r>
                    <w:rPr>
                      <w:b/>
                      <w:color w:val="26323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63238"/>
                      <w:sz w:val="16"/>
                    </w:rPr>
                    <w:t>obrotowa</w:t>
                  </w:r>
                  <w:proofErr w:type="spellEnd"/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62C3D9FF" w14:textId="77777777" w:rsidR="00C06904" w:rsidRPr="005228C7" w:rsidRDefault="00F93B48">
                  <w:pPr>
                    <w:spacing w:after="0" w:line="245" w:lineRule="auto"/>
                    <w:rPr>
                      <w:lang w:val="pl-PL"/>
                    </w:rPr>
                  </w:pPr>
                  <w:r w:rsidRPr="005228C7">
                    <w:rPr>
                      <w:color w:val="263238"/>
                      <w:sz w:val="16"/>
                      <w:lang w:val="pl-PL"/>
                    </w:rPr>
                    <w:t>silnik 1500 obr./min</w:t>
                  </w:r>
                  <w:r w:rsidRPr="005228C7">
                    <w:rPr>
                      <w:lang w:val="pl-PL"/>
                    </w:rPr>
                    <w:br/>
                  </w:r>
                  <w:r w:rsidRPr="005228C7">
                    <w:rPr>
                      <w:color w:val="263238"/>
                      <w:sz w:val="16"/>
                      <w:lang w:val="pl-PL"/>
                    </w:rPr>
                    <w:t>kompresor i ekspander 3000 obr./min</w:t>
                  </w:r>
                </w:p>
              </w:tc>
            </w:tr>
            <w:tr w:rsidR="00C06904" w14:paraId="00933468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1D8A2E07" w14:textId="77777777" w:rsidR="00C06904" w:rsidRDefault="00F93B48">
                  <w:pPr>
                    <w:spacing w:after="0" w:line="245" w:lineRule="auto"/>
                  </w:pPr>
                  <w:proofErr w:type="spellStart"/>
                  <w:r>
                    <w:rPr>
                      <w:b/>
                      <w:color w:val="263238"/>
                      <w:sz w:val="16"/>
                    </w:rPr>
                    <w:t>Przełożenie</w:t>
                  </w:r>
                  <w:proofErr w:type="spellEnd"/>
                  <w:r>
                    <w:rPr>
                      <w:b/>
                      <w:color w:val="263238"/>
                      <w:sz w:val="16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263238"/>
                      <w:sz w:val="16"/>
                    </w:rPr>
                    <w:t>przekładni</w:t>
                  </w:r>
                  <w:proofErr w:type="spellEnd"/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5914732C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2:1</w:t>
                  </w:r>
                </w:p>
              </w:tc>
            </w:tr>
            <w:tr w:rsidR="00C06904" w14:paraId="54C4BF42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2A4E2FF5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Powierzchnia heater / recuperator / cooler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149289FF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30,4 / 45,2 / 15,2 m²</w:t>
                  </w:r>
                </w:p>
              </w:tc>
            </w:tr>
            <w:tr w:rsidR="00C06904" w14:paraId="5E7662ED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1AEA3157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Rurociągi CO₂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2573970C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42 m; 60,3 × 12,5 mm; stal 16Mo3</w:t>
                  </w:r>
                </w:p>
              </w:tc>
            </w:tr>
          </w:tbl>
          <w:p w14:paraId="7EBE0771" w14:textId="77777777" w:rsidR="00C06904" w:rsidRDefault="00C06904"/>
        </w:tc>
      </w:tr>
    </w:tbl>
    <w:p w14:paraId="700807C0" w14:textId="77777777" w:rsidR="00C06904" w:rsidRDefault="00C06904">
      <w:pPr>
        <w:spacing w:after="2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C06904" w14:paraId="2B7CE52A" w14:textId="77777777">
        <w:trPr>
          <w:jc w:val="center"/>
        </w:trPr>
        <w:tc>
          <w:tcPr>
            <w:tcW w:w="5273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shd w:val="clear" w:color="auto" w:fill="F8FBF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7F1E4D21" w14:textId="77777777" w:rsidR="00C06904" w:rsidRPr="005228C7" w:rsidRDefault="00C06904">
            <w:pPr>
              <w:spacing w:after="0"/>
              <w:rPr>
                <w:lang w:val="pl-PL"/>
              </w:rPr>
            </w:pPr>
          </w:p>
          <w:p w14:paraId="4881D8E8" w14:textId="77777777" w:rsidR="00C06904" w:rsidRPr="005228C7" w:rsidRDefault="00F93B48">
            <w:pPr>
              <w:spacing w:after="60" w:line="240" w:lineRule="auto"/>
              <w:rPr>
                <w:lang w:val="pl-PL"/>
              </w:rPr>
            </w:pPr>
            <w:r w:rsidRPr="005228C7">
              <w:rPr>
                <w:b/>
                <w:color w:val="0F3B4C"/>
                <w:sz w:val="20"/>
                <w:lang w:val="pl-PL"/>
              </w:rPr>
              <w:t>Jak działa</w:t>
            </w:r>
          </w:p>
          <w:p w14:paraId="386B281B" w14:textId="77777777" w:rsidR="00C06904" w:rsidRPr="005228C7" w:rsidRDefault="00F93B48">
            <w:pPr>
              <w:spacing w:after="60" w:line="259" w:lineRule="auto"/>
              <w:rPr>
                <w:lang w:val="pl-PL"/>
              </w:rPr>
            </w:pPr>
            <w:r w:rsidRPr="005228C7">
              <w:rPr>
                <w:color w:val="222222"/>
                <w:sz w:val="16"/>
                <w:lang w:val="pl-PL"/>
              </w:rPr>
              <w:t>Kompresja CO₂ → wstępne podgrzanie w rekuperatorze → odbiór ciepła ze spalin w heaterze → rozprężanie w ekspanderze → chłodzenie i zamknięcie obiegu.</w:t>
            </w:r>
          </w:p>
          <w:p w14:paraId="01EE55E6" w14:textId="77777777" w:rsidR="00C06904" w:rsidRPr="005228C7" w:rsidRDefault="00F93B48">
            <w:pPr>
              <w:spacing w:after="40" w:line="240" w:lineRule="auto"/>
              <w:rPr>
                <w:lang w:val="pl-PL"/>
              </w:rPr>
            </w:pPr>
            <w:r w:rsidRPr="005228C7">
              <w:rPr>
                <w:b/>
                <w:color w:val="0F3B4C"/>
                <w:sz w:val="20"/>
                <w:lang w:val="pl-PL"/>
              </w:rPr>
              <w:t>Główne elementy</w:t>
            </w:r>
          </w:p>
          <w:p w14:paraId="2F6213F9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kompresor sCO₂</w:t>
            </w:r>
          </w:p>
          <w:p w14:paraId="60A512DF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ekspander sCO₂</w:t>
            </w:r>
          </w:p>
          <w:p w14:paraId="37D1D692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wymiennik spaliny–CO₂ (heater)</w:t>
            </w:r>
          </w:p>
          <w:p w14:paraId="0821658D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rekuperator CO₂–CO₂</w:t>
            </w:r>
          </w:p>
          <w:p w14:paraId="044182C8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chłodnica CO₂–woda</w:t>
            </w:r>
          </w:p>
          <w:p w14:paraId="6042DABE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zbiornik CO₂, armatura i rurociągi</w:t>
            </w:r>
          </w:p>
          <w:p w14:paraId="7FCE8BAD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przekładnia, sprzęgła, czujnik momentu</w:t>
            </w:r>
          </w:p>
          <w:p w14:paraId="31D17831" w14:textId="77777777" w:rsidR="00C06904" w:rsidRDefault="00F93B48">
            <w:pPr>
              <w:spacing w:after="0" w:line="245" w:lineRule="auto"/>
            </w:pPr>
            <w:r>
              <w:rPr>
                <w:color w:val="1F1F1F"/>
                <w:sz w:val="15"/>
              </w:rPr>
              <w:t xml:space="preserve">• </w:t>
            </w:r>
            <w:proofErr w:type="spellStart"/>
            <w:r>
              <w:rPr>
                <w:color w:val="1F1F1F"/>
                <w:sz w:val="15"/>
              </w:rPr>
              <w:t>automatyka</w:t>
            </w:r>
            <w:proofErr w:type="spellEnd"/>
            <w:r>
              <w:rPr>
                <w:color w:val="1F1F1F"/>
                <w:sz w:val="15"/>
              </w:rPr>
              <w:t xml:space="preserve">, </w:t>
            </w:r>
            <w:proofErr w:type="spellStart"/>
            <w:r>
              <w:rPr>
                <w:color w:val="1F1F1F"/>
                <w:sz w:val="15"/>
              </w:rPr>
              <w:t>sterowanie</w:t>
            </w:r>
            <w:proofErr w:type="spellEnd"/>
            <w:r>
              <w:rPr>
                <w:color w:val="1F1F1F"/>
                <w:sz w:val="15"/>
              </w:rPr>
              <w:t xml:space="preserve"> </w:t>
            </w:r>
            <w:proofErr w:type="spellStart"/>
            <w:r>
              <w:rPr>
                <w:color w:val="1F1F1F"/>
                <w:sz w:val="15"/>
              </w:rPr>
              <w:t>i</w:t>
            </w:r>
            <w:proofErr w:type="spellEnd"/>
            <w:r>
              <w:rPr>
                <w:color w:val="1F1F1F"/>
                <w:sz w:val="15"/>
              </w:rPr>
              <w:t xml:space="preserve"> pomiary</w:t>
            </w:r>
          </w:p>
        </w:tc>
        <w:tc>
          <w:tcPr>
            <w:tcW w:w="5273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shd w:val="clear" w:color="auto" w:fill="F8FBF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BFCAB85" w14:textId="77777777" w:rsidR="00C06904" w:rsidRPr="005228C7" w:rsidRDefault="00C06904">
            <w:pPr>
              <w:spacing w:after="0"/>
              <w:rPr>
                <w:lang w:val="pl-PL"/>
              </w:rPr>
            </w:pPr>
          </w:p>
          <w:p w14:paraId="374CDE3D" w14:textId="77777777" w:rsidR="00C06904" w:rsidRPr="005228C7" w:rsidRDefault="00F93B48">
            <w:pPr>
              <w:spacing w:after="40" w:line="240" w:lineRule="auto"/>
              <w:rPr>
                <w:lang w:val="pl-PL"/>
              </w:rPr>
            </w:pPr>
            <w:r w:rsidRPr="005228C7">
              <w:rPr>
                <w:b/>
                <w:color w:val="0F3B4C"/>
                <w:sz w:val="20"/>
                <w:lang w:val="pl-PL"/>
              </w:rPr>
              <w:t>Kluczowe cechy</w:t>
            </w:r>
          </w:p>
          <w:p w14:paraId="1AF6AA98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zamknięty obieg sCO₂ z rekuperacją</w:t>
            </w:r>
          </w:p>
          <w:p w14:paraId="03FB5A4C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 xml:space="preserve">• </w:t>
            </w:r>
            <w:r w:rsidRPr="005228C7">
              <w:rPr>
                <w:color w:val="1F1F1F"/>
                <w:sz w:val="15"/>
                <w:lang w:val="pl-PL"/>
              </w:rPr>
              <w:t>sprężanie blisko punktu krytycznego CO₂</w:t>
            </w:r>
          </w:p>
          <w:p w14:paraId="5CC3B740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wyporowe maszyny łopatkowe: kompresor i ekspander</w:t>
            </w:r>
          </w:p>
          <w:p w14:paraId="5B5A0171" w14:textId="012CE364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 xml:space="preserve">• </w:t>
            </w:r>
            <w:r w:rsidRPr="005228C7">
              <w:rPr>
                <w:color w:val="1F1F1F"/>
                <w:sz w:val="15"/>
                <w:lang w:val="pl-PL"/>
              </w:rPr>
              <w:t>integracja z wałem silnika i</w:t>
            </w:r>
            <w:r w:rsidR="001B6E58">
              <w:rPr>
                <w:color w:val="1F1F1F"/>
                <w:sz w:val="15"/>
                <w:lang w:val="pl-PL"/>
              </w:rPr>
              <w:t>/lub</w:t>
            </w:r>
            <w:r w:rsidRPr="005228C7">
              <w:rPr>
                <w:color w:val="1F1F1F"/>
                <w:sz w:val="15"/>
                <w:lang w:val="pl-PL"/>
              </w:rPr>
              <w:t xml:space="preserve"> </w:t>
            </w:r>
            <w:r w:rsidRPr="005228C7">
              <w:rPr>
                <w:color w:val="1F1F1F"/>
                <w:sz w:val="15"/>
                <w:lang w:val="pl-PL"/>
              </w:rPr>
              <w:t>generatorem</w:t>
            </w:r>
          </w:p>
          <w:p w14:paraId="26F63B2C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regulacja mocy przez zawór by-pass ekspandera</w:t>
            </w:r>
          </w:p>
          <w:p w14:paraId="4F48C8C5" w14:textId="7820A524" w:rsidR="00C06904" w:rsidRPr="005228C7" w:rsidRDefault="00F93B48">
            <w:pPr>
              <w:spacing w:after="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 xml:space="preserve">• </w:t>
            </w:r>
            <w:r w:rsidR="001B6E58">
              <w:rPr>
                <w:color w:val="1F1F1F"/>
                <w:sz w:val="15"/>
                <w:lang w:val="pl-PL"/>
              </w:rPr>
              <w:t xml:space="preserve">technologia opracowana </w:t>
            </w:r>
            <w:r w:rsidRPr="005228C7">
              <w:rPr>
                <w:color w:val="1F1F1F"/>
                <w:sz w:val="15"/>
                <w:lang w:val="pl-PL"/>
              </w:rPr>
              <w:t>dla obciążenia nominalnego i 50%</w:t>
            </w:r>
          </w:p>
          <w:p w14:paraId="364B19D7" w14:textId="77777777" w:rsidR="00C06904" w:rsidRPr="005228C7" w:rsidRDefault="00F93B48">
            <w:pPr>
              <w:spacing w:before="40" w:after="40" w:line="240" w:lineRule="auto"/>
              <w:rPr>
                <w:lang w:val="pl-PL"/>
              </w:rPr>
            </w:pPr>
            <w:r w:rsidRPr="005228C7">
              <w:rPr>
                <w:b/>
                <w:color w:val="0F3B4C"/>
                <w:sz w:val="20"/>
                <w:lang w:val="pl-PL"/>
              </w:rPr>
              <w:t>Obszary zastosowań</w:t>
            </w:r>
          </w:p>
          <w:p w14:paraId="7A2B12A3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agregaty i CHP na gaz ziemny</w:t>
            </w:r>
          </w:p>
          <w:p w14:paraId="6176E6A2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silniki na biogaz i gaz wysypiskowy</w:t>
            </w:r>
          </w:p>
          <w:p w14:paraId="297AB297" w14:textId="77777777" w:rsidR="00C06904" w:rsidRPr="005228C7" w:rsidRDefault="00F93B48">
            <w:pPr>
              <w:spacing w:after="10" w:line="245" w:lineRule="auto"/>
              <w:rPr>
                <w:lang w:val="pl-PL"/>
              </w:rPr>
            </w:pPr>
            <w:r w:rsidRPr="005228C7">
              <w:rPr>
                <w:color w:val="1F1F1F"/>
                <w:sz w:val="15"/>
                <w:lang w:val="pl-PL"/>
              </w:rPr>
              <w:t>• odzysk ciepła odpadowego w energetyce rozproszonej</w:t>
            </w:r>
          </w:p>
          <w:p w14:paraId="6322073F" w14:textId="77777777" w:rsidR="00C06904" w:rsidRDefault="00F93B48">
            <w:pPr>
              <w:spacing w:after="0" w:line="245" w:lineRule="auto"/>
            </w:pPr>
            <w:r>
              <w:rPr>
                <w:color w:val="1F1F1F"/>
                <w:sz w:val="15"/>
              </w:rPr>
              <w:t xml:space="preserve">• </w:t>
            </w:r>
            <w:proofErr w:type="spellStart"/>
            <w:r>
              <w:rPr>
                <w:color w:val="1F1F1F"/>
                <w:sz w:val="15"/>
              </w:rPr>
              <w:t>modernizacja</w:t>
            </w:r>
            <w:proofErr w:type="spellEnd"/>
            <w:r>
              <w:rPr>
                <w:color w:val="1F1F1F"/>
                <w:sz w:val="15"/>
              </w:rPr>
              <w:t xml:space="preserve"> </w:t>
            </w:r>
            <w:proofErr w:type="spellStart"/>
            <w:r>
              <w:rPr>
                <w:color w:val="1F1F1F"/>
                <w:sz w:val="15"/>
              </w:rPr>
              <w:t>istniejących</w:t>
            </w:r>
            <w:proofErr w:type="spellEnd"/>
            <w:r>
              <w:rPr>
                <w:color w:val="1F1F1F"/>
                <w:sz w:val="15"/>
              </w:rPr>
              <w:t xml:space="preserve"> </w:t>
            </w:r>
            <w:proofErr w:type="spellStart"/>
            <w:r>
              <w:rPr>
                <w:color w:val="1F1F1F"/>
                <w:sz w:val="15"/>
              </w:rPr>
              <w:t>jednostek</w:t>
            </w:r>
            <w:proofErr w:type="spellEnd"/>
            <w:r>
              <w:rPr>
                <w:color w:val="1F1F1F"/>
                <w:sz w:val="15"/>
              </w:rPr>
              <w:t xml:space="preserve"> tłokowych</w:t>
            </w:r>
          </w:p>
        </w:tc>
      </w:tr>
    </w:tbl>
    <w:p w14:paraId="71703799" w14:textId="77777777" w:rsidR="00C06904" w:rsidRPr="005228C7" w:rsidRDefault="00F93B48">
      <w:pPr>
        <w:spacing w:before="60"/>
        <w:rPr>
          <w:lang w:val="pl-PL"/>
        </w:rPr>
      </w:pPr>
      <w:r w:rsidRPr="005228C7">
        <w:rPr>
          <w:i/>
          <w:color w:val="5A6C74"/>
          <w:sz w:val="15"/>
          <w:lang w:val="pl-PL"/>
        </w:rPr>
        <w:t>Status wyniku projektu: zwalidowany prototyp + projekt bazowy instalacji w skali docelowej.</w:t>
      </w:r>
    </w:p>
    <w:p w14:paraId="7911E363" w14:textId="079C6D28" w:rsidR="00C06904" w:rsidRDefault="005228C7">
      <w:r w:rsidRPr="005228C7">
        <w:drawing>
          <wp:inline distT="0" distB="0" distL="0" distR="0" wp14:anchorId="5E650DA3" wp14:editId="349F1166">
            <wp:extent cx="847725" cy="719421"/>
            <wp:effectExtent l="0" t="0" r="0" b="5080"/>
            <wp:docPr id="1383996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96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940" cy="7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8C7">
        <w:t xml:space="preserve"> </w:t>
      </w:r>
      <w:r w:rsidR="00BA1EA0">
        <w:tab/>
      </w:r>
      <w:r w:rsidR="00BA1EA0">
        <w:tab/>
      </w:r>
      <w:r w:rsidR="00BA1EA0">
        <w:tab/>
      </w:r>
      <w:r w:rsidR="00BA1EA0">
        <w:tab/>
      </w:r>
      <w:r w:rsidR="00BA1EA0">
        <w:tab/>
      </w:r>
      <w:r w:rsidR="00BA1EA0">
        <w:tab/>
      </w:r>
      <w:r w:rsidR="00BA1EA0">
        <w:tab/>
      </w:r>
      <w:r w:rsidR="00BA1EA0">
        <w:tab/>
      </w:r>
      <w:r w:rsidR="00BA1EA0">
        <w:tab/>
      </w:r>
      <w:r w:rsidR="00BA1EA0">
        <w:tab/>
      </w:r>
      <w:r w:rsidR="00BA1EA0">
        <w:tab/>
      </w:r>
      <w:r w:rsidR="00BA1EA0">
        <w:tab/>
      </w:r>
      <w:r>
        <w:rPr>
          <w:noProof/>
        </w:rPr>
        <w:drawing>
          <wp:inline distT="0" distB="0" distL="0" distR="0" wp14:anchorId="3F4F5A50" wp14:editId="79DCBDDD">
            <wp:extent cx="744022" cy="742950"/>
            <wp:effectExtent l="0" t="0" r="0" b="0"/>
            <wp:docPr id="981287444" name="Picture 1" descr="logo PW / Images / Media - Wydział Chemiczny Politechniki Warsza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W / Images / Media - Wydział Chemiczny Politechniki Warszaw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" cy="75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3B48">
        <w:br w:type="page"/>
      </w: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546"/>
      </w:tblGrid>
      <w:tr w:rsidR="00C06904" w14:paraId="16926153" w14:textId="77777777">
        <w:trPr>
          <w:jc w:val="center"/>
        </w:trPr>
        <w:tc>
          <w:tcPr>
            <w:tcW w:w="10546" w:type="dxa"/>
            <w:shd w:val="clear" w:color="auto" w:fill="224B5C"/>
            <w:tcMar>
              <w:top w:w="120" w:type="dxa"/>
              <w:left w:w="140" w:type="dxa"/>
              <w:bottom w:w="110" w:type="dxa"/>
              <w:right w:w="140" w:type="dxa"/>
            </w:tcMar>
          </w:tcPr>
          <w:p w14:paraId="3E4D4214" w14:textId="77777777" w:rsidR="00C06904" w:rsidRDefault="00F93B48">
            <w:pPr>
              <w:spacing w:after="40"/>
            </w:pPr>
            <w:r>
              <w:rPr>
                <w:b/>
                <w:color w:val="E8F3F6"/>
                <w:sz w:val="19"/>
              </w:rPr>
              <w:lastRenderedPageBreak/>
              <w:t>AFTERMOST</w:t>
            </w:r>
          </w:p>
          <w:p w14:paraId="34ECCF82" w14:textId="77777777" w:rsidR="00C06904" w:rsidRDefault="00F93B48">
            <w:pPr>
              <w:spacing w:after="40" w:line="240" w:lineRule="auto"/>
            </w:pPr>
            <w:r>
              <w:rPr>
                <w:b/>
                <w:color w:val="FFFFFF"/>
                <w:sz w:val="37"/>
              </w:rPr>
              <w:t>sCO₂ Waste Heat Recovery Module</w:t>
            </w:r>
            <w:r>
              <w:rPr>
                <w:b/>
                <w:color w:val="FFFFFF"/>
                <w:sz w:val="37"/>
              </w:rPr>
              <w:br/>
              <w:t>for Reciprocating Engines</w:t>
            </w:r>
          </w:p>
          <w:p w14:paraId="7BE18AAF" w14:textId="77777777" w:rsidR="00C06904" w:rsidRDefault="00F93B48">
            <w:pPr>
              <w:spacing w:after="0" w:line="245" w:lineRule="auto"/>
            </w:pPr>
            <w:r>
              <w:rPr>
                <w:color w:val="D7E8EE"/>
                <w:sz w:val="18"/>
              </w:rPr>
              <w:t>A regenerative closed Brayton cycle mechanically and thermally integrated with a gas reciprocating engine.</w:t>
            </w:r>
          </w:p>
        </w:tc>
      </w:tr>
    </w:tbl>
    <w:p w14:paraId="08AC6979" w14:textId="430F923C" w:rsidR="00C06904" w:rsidRDefault="00BA1EA0">
      <w:pPr>
        <w:spacing w:after="40"/>
      </w:pPr>
      <w:r w:rsidRPr="00BA1EA0">
        <w:rPr>
          <w:lang w:val="pl-PL"/>
        </w:rPr>
        <w:drawing>
          <wp:inline distT="0" distB="0" distL="0" distR="0" wp14:anchorId="0F2C8FF8" wp14:editId="3B9BE420">
            <wp:extent cx="4152900" cy="1404252"/>
            <wp:effectExtent l="0" t="0" r="0" b="5715"/>
            <wp:docPr id="5026793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1818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08068" cy="1422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</w:t>
      </w:r>
      <w:r w:rsidRPr="00BA1EA0">
        <w:rPr>
          <w:lang w:val="pl-PL"/>
        </w:rPr>
        <w:drawing>
          <wp:inline distT="0" distB="0" distL="0" distR="0" wp14:anchorId="01A511F4" wp14:editId="34AE655B">
            <wp:extent cx="1876425" cy="1416838"/>
            <wp:effectExtent l="0" t="0" r="0" b="0"/>
            <wp:docPr id="1739697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002975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3695" cy="1429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20327" w14:textId="77777777" w:rsidR="001B6E58" w:rsidRDefault="001B6E58">
      <w:pPr>
        <w:spacing w:after="4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C06904" w14:paraId="6DFF6CCB" w14:textId="77777777">
        <w:trPr>
          <w:jc w:val="center"/>
        </w:trPr>
        <w:tc>
          <w:tcPr>
            <w:tcW w:w="5273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shd w:val="clear" w:color="auto" w:fill="F3F7F8"/>
            <w:tcMar>
              <w:top w:w="80" w:type="dxa"/>
              <w:left w:w="90" w:type="dxa"/>
              <w:bottom w:w="70" w:type="dxa"/>
              <w:right w:w="90" w:type="dxa"/>
            </w:tcMar>
          </w:tcPr>
          <w:p w14:paraId="595702E6" w14:textId="77777777" w:rsidR="00C06904" w:rsidRDefault="00C06904">
            <w:pPr>
              <w:spacing w:after="0"/>
            </w:pPr>
          </w:p>
          <w:p w14:paraId="7A171761" w14:textId="77777777" w:rsidR="00C06904" w:rsidRDefault="00F93B48">
            <w:pPr>
              <w:spacing w:after="60" w:line="240" w:lineRule="auto"/>
            </w:pPr>
            <w:r>
              <w:rPr>
                <w:b/>
                <w:color w:val="0F3B4C"/>
                <w:sz w:val="20"/>
              </w:rPr>
              <w:t>Product overview</w:t>
            </w:r>
          </w:p>
          <w:p w14:paraId="62E8DEAB" w14:textId="42EB622A" w:rsidR="00C06904" w:rsidRDefault="00F93B48" w:rsidP="00BA1EA0">
            <w:pPr>
              <w:spacing w:after="0" w:line="259" w:lineRule="auto"/>
              <w:jc w:val="both"/>
            </w:pPr>
            <w:r>
              <w:rPr>
                <w:color w:val="222222"/>
              </w:rPr>
              <w:t xml:space="preserve">AFTERMOST recovers exhaust heat from a reciprocating engine and converts it into additional shaft or electrical power. CO₂ is compressed close to the critical point, which reduces compression work and improves cycle potential. The prototype was </w:t>
            </w:r>
            <w:r w:rsidR="001B6E58">
              <w:rPr>
                <w:color w:val="222222"/>
              </w:rPr>
              <w:t>designed for</w:t>
            </w:r>
            <w:r>
              <w:rPr>
                <w:color w:val="222222"/>
              </w:rPr>
              <w:t xml:space="preserve"> integrated setup with a</w:t>
            </w:r>
            <w:r w:rsidR="00BA1EA0">
              <w:rPr>
                <w:color w:val="222222"/>
              </w:rPr>
              <w:t xml:space="preserve">n </w:t>
            </w:r>
            <w:r>
              <w:rPr>
                <w:color w:val="222222"/>
              </w:rPr>
              <w:t>engine.</w:t>
            </w:r>
          </w:p>
        </w:tc>
        <w:tc>
          <w:tcPr>
            <w:tcW w:w="5273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shd w:val="clear" w:color="auto" w:fill="E7F1F4"/>
            <w:tcMar>
              <w:top w:w="80" w:type="dxa"/>
              <w:left w:w="90" w:type="dxa"/>
              <w:bottom w:w="70" w:type="dxa"/>
              <w:right w:w="90" w:type="dxa"/>
            </w:tcMar>
          </w:tcPr>
          <w:p w14:paraId="1AB33ED5" w14:textId="77777777" w:rsidR="00C06904" w:rsidRDefault="00C06904">
            <w:pPr>
              <w:spacing w:after="0"/>
            </w:pPr>
          </w:p>
          <w:p w14:paraId="697E3CC1" w14:textId="77777777" w:rsidR="00C06904" w:rsidRDefault="00F93B48">
            <w:pPr>
              <w:spacing w:after="60" w:line="240" w:lineRule="auto"/>
            </w:pPr>
            <w:r>
              <w:rPr>
                <w:b/>
                <w:color w:val="0F3B4C"/>
                <w:sz w:val="20"/>
              </w:rPr>
              <w:t>Main result for commercialisation</w:t>
            </w:r>
          </w:p>
          <w:p w14:paraId="2AEDADFA" w14:textId="13440255" w:rsidR="00C06904" w:rsidRDefault="00F93B48" w:rsidP="00BA1EA0">
            <w:pPr>
              <w:spacing w:after="20" w:line="245" w:lineRule="auto"/>
              <w:jc w:val="both"/>
            </w:pPr>
            <w:r>
              <w:rPr>
                <w:color w:val="1F1F1F"/>
                <w:sz w:val="15"/>
              </w:rPr>
              <w:t xml:space="preserve">• technical documentation of the sCO₂ prototype and the </w:t>
            </w:r>
            <w:r>
              <w:rPr>
                <w:color w:val="1F1F1F"/>
                <w:sz w:val="15"/>
              </w:rPr>
              <w:t>installation</w:t>
            </w:r>
          </w:p>
          <w:p w14:paraId="7B381EF1" w14:textId="77777777" w:rsidR="00C06904" w:rsidRDefault="00F93B48" w:rsidP="00BA1EA0">
            <w:pPr>
              <w:spacing w:after="20" w:line="245" w:lineRule="auto"/>
              <w:jc w:val="both"/>
            </w:pPr>
            <w:r>
              <w:rPr>
                <w:color w:val="1F1F1F"/>
                <w:sz w:val="15"/>
              </w:rPr>
              <w:t>• manufacturing / detailed drawings of key components</w:t>
            </w:r>
          </w:p>
          <w:p w14:paraId="3307FC90" w14:textId="27E06A4B" w:rsidR="00C06904" w:rsidRDefault="00F93B48" w:rsidP="00BA1EA0">
            <w:pPr>
              <w:spacing w:after="20" w:line="245" w:lineRule="auto"/>
              <w:jc w:val="both"/>
            </w:pPr>
            <w:r>
              <w:rPr>
                <w:color w:val="1F1F1F"/>
                <w:sz w:val="15"/>
              </w:rPr>
              <w:t xml:space="preserve">• mass and energy balances, process stream </w:t>
            </w:r>
            <w:proofErr w:type="gramStart"/>
            <w:r>
              <w:rPr>
                <w:color w:val="1F1F1F"/>
                <w:sz w:val="15"/>
              </w:rPr>
              <w:t>parameter</w:t>
            </w:r>
            <w:proofErr w:type="gramEnd"/>
            <w:r>
              <w:rPr>
                <w:color w:val="1F1F1F"/>
                <w:sz w:val="15"/>
              </w:rPr>
              <w:t xml:space="preserve"> and process </w:t>
            </w:r>
            <w:r>
              <w:rPr>
                <w:color w:val="1F1F1F"/>
                <w:sz w:val="15"/>
              </w:rPr>
              <w:t>schemes</w:t>
            </w:r>
          </w:p>
          <w:p w14:paraId="5470E146" w14:textId="77777777" w:rsidR="00C06904" w:rsidRDefault="00F93B48" w:rsidP="00BA1EA0">
            <w:pPr>
              <w:spacing w:after="20" w:line="245" w:lineRule="auto"/>
              <w:jc w:val="both"/>
            </w:pPr>
            <w:r>
              <w:rPr>
                <w:color w:val="1F1F1F"/>
                <w:sz w:val="15"/>
              </w:rPr>
              <w:t>• package sections: general, process, mechanical, instrumentation &amp; control, electrical</w:t>
            </w:r>
          </w:p>
          <w:p w14:paraId="097F26C8" w14:textId="5272A580" w:rsidR="00C06904" w:rsidRDefault="00F93B48" w:rsidP="00BA1EA0">
            <w:pPr>
              <w:spacing w:after="0" w:line="245" w:lineRule="auto"/>
              <w:jc w:val="both"/>
            </w:pPr>
            <w:r>
              <w:rPr>
                <w:color w:val="1F1F1F"/>
                <w:sz w:val="15"/>
              </w:rPr>
              <w:t xml:space="preserve">• </w:t>
            </w:r>
            <w:r>
              <w:rPr>
                <w:color w:val="1F1F1F"/>
                <w:sz w:val="15"/>
              </w:rPr>
              <w:t xml:space="preserve">basic engineering package for a </w:t>
            </w:r>
            <w:proofErr w:type="gramStart"/>
            <w:r>
              <w:rPr>
                <w:color w:val="1F1F1F"/>
                <w:sz w:val="15"/>
              </w:rPr>
              <w:t>500 kW</w:t>
            </w:r>
            <w:proofErr w:type="gramEnd"/>
            <w:r>
              <w:rPr>
                <w:color w:val="1F1F1F"/>
                <w:sz w:val="15"/>
              </w:rPr>
              <w:t xml:space="preserve"> engine installation with CAPEX/OPEX analysis</w:t>
            </w:r>
          </w:p>
        </w:tc>
      </w:tr>
    </w:tbl>
    <w:p w14:paraId="7AFD930A" w14:textId="77777777" w:rsidR="00C06904" w:rsidRDefault="00C06904">
      <w:pPr>
        <w:spacing w:after="2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10546"/>
      </w:tblGrid>
      <w:tr w:rsidR="00C06904" w14:paraId="6B850B62" w14:textId="77777777">
        <w:trPr>
          <w:jc w:val="center"/>
        </w:trPr>
        <w:tc>
          <w:tcPr>
            <w:tcW w:w="10546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EEB07" w14:textId="77777777" w:rsidR="00C06904" w:rsidRDefault="00C06904">
            <w:pPr>
              <w:spacing w:after="0"/>
            </w:pP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273"/>
              <w:gridCol w:w="5273"/>
            </w:tblGrid>
            <w:tr w:rsidR="00C06904" w14:paraId="0CDBC2E6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224B5C"/>
                    <w:left w:val="single" w:sz="6" w:space="0" w:color="224B5C"/>
                    <w:bottom w:val="single" w:sz="6" w:space="0" w:color="224B5C"/>
                    <w:right w:val="single" w:sz="6" w:space="0" w:color="224B5C"/>
                  </w:tcBorders>
                  <w:shd w:val="clear" w:color="auto" w:fill="224B5C"/>
                  <w:tcMar>
                    <w:top w:w="60" w:type="dxa"/>
                    <w:left w:w="90" w:type="dxa"/>
                    <w:bottom w:w="50" w:type="dxa"/>
                    <w:right w:w="90" w:type="dxa"/>
                  </w:tcMar>
                </w:tcPr>
                <w:p w14:paraId="0A8B6A40" w14:textId="77777777" w:rsidR="00C06904" w:rsidRDefault="00F93B48">
                  <w:pPr>
                    <w:spacing w:after="0"/>
                  </w:pPr>
                  <w:r>
                    <w:rPr>
                      <w:b/>
                      <w:color w:val="FFFFFF"/>
                      <w:sz w:val="19"/>
                    </w:rPr>
                    <w:t>Validated prototype data</w:t>
                  </w:r>
                </w:p>
              </w:tc>
              <w:tc>
                <w:tcPr>
                  <w:tcW w:w="5273" w:type="dxa"/>
                  <w:tcBorders>
                    <w:top w:val="single" w:sz="6" w:space="0" w:color="224B5C"/>
                    <w:left w:val="single" w:sz="6" w:space="0" w:color="224B5C"/>
                    <w:bottom w:val="single" w:sz="6" w:space="0" w:color="224B5C"/>
                    <w:right w:val="single" w:sz="6" w:space="0" w:color="224B5C"/>
                  </w:tcBorders>
                  <w:shd w:val="clear" w:color="auto" w:fill="224B5C"/>
                  <w:tcMar>
                    <w:top w:w="60" w:type="dxa"/>
                    <w:left w:w="90" w:type="dxa"/>
                    <w:bottom w:w="50" w:type="dxa"/>
                    <w:right w:w="90" w:type="dxa"/>
                  </w:tcMar>
                </w:tcPr>
                <w:p w14:paraId="2177D2B9" w14:textId="77777777" w:rsidR="00C06904" w:rsidRDefault="00C06904">
                  <w:pPr>
                    <w:spacing w:after="0"/>
                  </w:pPr>
                </w:p>
              </w:tc>
            </w:tr>
            <w:tr w:rsidR="00C06904" w14:paraId="1D049612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65D0B42A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Additional sCO₂ power output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129C9B75" w14:textId="13A79F6A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up to 42.03 kW</w:t>
                  </w:r>
                  <w:r w:rsidR="00BA1EA0">
                    <w:rPr>
                      <w:color w:val="263238"/>
                      <w:sz w:val="16"/>
                    </w:rPr>
                    <w:t xml:space="preserve"> (10% of the engine power)</w:t>
                  </w:r>
                </w:p>
              </w:tc>
            </w:tr>
            <w:tr w:rsidR="00C06904" w14:paraId="2CD76883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53FDFDB7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Share of engine electrical power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51FB32C4" w14:textId="74B7E4DF" w:rsidR="00C06904" w:rsidRDefault="00D34AC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~</w:t>
                  </w:r>
                  <w:r w:rsidR="00F93B48">
                    <w:rPr>
                      <w:color w:val="263238"/>
                      <w:sz w:val="16"/>
                    </w:rPr>
                    <w:t>1</w:t>
                  </w:r>
                  <w:r w:rsidR="00BA1EA0">
                    <w:rPr>
                      <w:color w:val="263238"/>
                      <w:sz w:val="16"/>
                    </w:rPr>
                    <w:t>0</w:t>
                  </w:r>
                  <w:r w:rsidR="00F93B48">
                    <w:rPr>
                      <w:color w:val="263238"/>
                      <w:sz w:val="16"/>
                    </w:rPr>
                    <w:t>.0%</w:t>
                  </w:r>
                </w:p>
              </w:tc>
            </w:tr>
            <w:tr w:rsidR="00C06904" w14:paraId="1296A19F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5ED1453A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CO₂ mass flow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1D59A188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up to 0.915 kg/s</w:t>
                  </w:r>
                </w:p>
              </w:tc>
            </w:tr>
            <w:tr w:rsidR="00C06904" w14:paraId="5EF66F98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37C3019E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CO₂ pressure level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4F21CE5C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approx. 75.4 / 130.3 bar</w:t>
                  </w:r>
                </w:p>
              </w:tc>
            </w:tr>
            <w:tr w:rsidR="00C06904" w14:paraId="2C7E87C1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2F2401B2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CO₂ temperature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1361DD96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35.2°C before compressor</w:t>
                  </w:r>
                  <w:r>
                    <w:br/>
                  </w:r>
                  <w:r>
                    <w:rPr>
                      <w:color w:val="263238"/>
                      <w:sz w:val="16"/>
                    </w:rPr>
                    <w:t>397.5°C before expander</w:t>
                  </w:r>
                  <w:r>
                    <w:br/>
                  </w:r>
                  <w:r>
                    <w:rPr>
                      <w:color w:val="263238"/>
                      <w:sz w:val="16"/>
                    </w:rPr>
                    <w:t>60.8°C after recuperator</w:t>
                  </w:r>
                </w:p>
              </w:tc>
            </w:tr>
            <w:tr w:rsidR="00C06904" w14:paraId="12C57BDE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0D2ABCCD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Shaft speed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3B99B51A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engine 1500 rpm</w:t>
                  </w:r>
                  <w:r>
                    <w:br/>
                  </w:r>
                  <w:r>
                    <w:rPr>
                      <w:color w:val="263238"/>
                      <w:sz w:val="16"/>
                    </w:rPr>
                    <w:t>compressor and expander 3000 rpm</w:t>
                  </w:r>
                </w:p>
              </w:tc>
            </w:tr>
            <w:tr w:rsidR="00C06904" w14:paraId="65D64910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3D2DA9D2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Gear ratio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1BD8C3A5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2:1</w:t>
                  </w:r>
                </w:p>
              </w:tc>
            </w:tr>
            <w:tr w:rsidR="00C06904" w14:paraId="6D7C9642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68BDC686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Heater / recuperator / cooler area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ECF3F6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5375E91B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30.4 / 45.2 / 15.2 m²</w:t>
                  </w:r>
                </w:p>
              </w:tc>
            </w:tr>
            <w:tr w:rsidR="00C06904" w14:paraId="53F71024" w14:textId="77777777">
              <w:trPr>
                <w:jc w:val="center"/>
              </w:trPr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5F9D5FEE" w14:textId="77777777" w:rsidR="00C06904" w:rsidRDefault="00F93B48">
                  <w:pPr>
                    <w:spacing w:after="0" w:line="245" w:lineRule="auto"/>
                  </w:pPr>
                  <w:r>
                    <w:rPr>
                      <w:b/>
                      <w:color w:val="263238"/>
                      <w:sz w:val="16"/>
                    </w:rPr>
                    <w:t>CO₂ piping</w:t>
                  </w:r>
                </w:p>
              </w:tc>
              <w:tc>
                <w:tcPr>
                  <w:tcW w:w="5273" w:type="dxa"/>
                  <w:tcBorders>
                    <w:top w:val="single" w:sz="6" w:space="0" w:color="D9E5EA"/>
                    <w:left w:val="single" w:sz="6" w:space="0" w:color="D9E5EA"/>
                    <w:bottom w:val="single" w:sz="6" w:space="0" w:color="D9E5EA"/>
                    <w:right w:val="single" w:sz="6" w:space="0" w:color="D9E5EA"/>
                  </w:tcBorders>
                  <w:shd w:val="clear" w:color="auto" w:fill="F6FAFB"/>
                  <w:tcMar>
                    <w:top w:w="35" w:type="dxa"/>
                    <w:left w:w="90" w:type="dxa"/>
                    <w:bottom w:w="35" w:type="dxa"/>
                    <w:right w:w="90" w:type="dxa"/>
                  </w:tcMar>
                  <w:vAlign w:val="center"/>
                </w:tcPr>
                <w:p w14:paraId="33761457" w14:textId="77777777" w:rsidR="00C06904" w:rsidRDefault="00F93B48">
                  <w:pPr>
                    <w:spacing w:after="0" w:line="245" w:lineRule="auto"/>
                  </w:pPr>
                  <w:r>
                    <w:rPr>
                      <w:color w:val="263238"/>
                      <w:sz w:val="16"/>
                    </w:rPr>
                    <w:t>42 m; 60.3 × 12.5 mm; 16Mo3 steel</w:t>
                  </w:r>
                </w:p>
              </w:tc>
            </w:tr>
          </w:tbl>
          <w:p w14:paraId="48331A4E" w14:textId="77777777" w:rsidR="00C06904" w:rsidRDefault="00C06904"/>
        </w:tc>
      </w:tr>
    </w:tbl>
    <w:p w14:paraId="6A12A1C4" w14:textId="77777777" w:rsidR="00C06904" w:rsidRDefault="00C06904">
      <w:pPr>
        <w:spacing w:after="20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273"/>
        <w:gridCol w:w="5273"/>
      </w:tblGrid>
      <w:tr w:rsidR="00C06904" w14:paraId="2DEAE8F1" w14:textId="77777777">
        <w:trPr>
          <w:jc w:val="center"/>
        </w:trPr>
        <w:tc>
          <w:tcPr>
            <w:tcW w:w="5273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shd w:val="clear" w:color="auto" w:fill="F8FBF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67D4BD15" w14:textId="77777777" w:rsidR="00C06904" w:rsidRDefault="00C06904">
            <w:pPr>
              <w:spacing w:after="0"/>
            </w:pPr>
          </w:p>
          <w:p w14:paraId="6766C982" w14:textId="77777777" w:rsidR="00C06904" w:rsidRDefault="00F93B48">
            <w:pPr>
              <w:spacing w:after="60" w:line="240" w:lineRule="auto"/>
            </w:pPr>
            <w:r>
              <w:rPr>
                <w:b/>
                <w:color w:val="0F3B4C"/>
                <w:sz w:val="20"/>
              </w:rPr>
              <w:t>How it works</w:t>
            </w:r>
          </w:p>
          <w:p w14:paraId="6D4D7C3B" w14:textId="77777777" w:rsidR="00C06904" w:rsidRDefault="00F93B48">
            <w:pPr>
              <w:spacing w:after="60" w:line="259" w:lineRule="auto"/>
            </w:pPr>
            <w:r>
              <w:rPr>
                <w:color w:val="222222"/>
                <w:sz w:val="16"/>
              </w:rPr>
              <w:t>CO₂ compression → preheating in the recuperator → exhaust heat input in the heater → expansion in the expander → cooling and cycle closure.</w:t>
            </w:r>
          </w:p>
          <w:p w14:paraId="50A3D4E0" w14:textId="77777777" w:rsidR="00C06904" w:rsidRDefault="00F93B48">
            <w:pPr>
              <w:spacing w:after="40" w:line="240" w:lineRule="auto"/>
            </w:pPr>
            <w:r>
              <w:rPr>
                <w:b/>
                <w:color w:val="0F3B4C"/>
                <w:sz w:val="20"/>
              </w:rPr>
              <w:t>Main elements</w:t>
            </w:r>
          </w:p>
          <w:p w14:paraId="382A6F84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sCO₂ compressor</w:t>
            </w:r>
          </w:p>
          <w:p w14:paraId="4F04E222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sCO₂ expander</w:t>
            </w:r>
          </w:p>
          <w:p w14:paraId="096421A0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exhaust gas–CO₂ heat exchanger (heater)</w:t>
            </w:r>
          </w:p>
          <w:p w14:paraId="616AA07C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CO₂–CO₂ recuperator</w:t>
            </w:r>
          </w:p>
          <w:p w14:paraId="529B9913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CO₂–water cooler</w:t>
            </w:r>
          </w:p>
          <w:p w14:paraId="364C5A8D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CO₂ tank, valves and piping</w:t>
            </w:r>
          </w:p>
          <w:p w14:paraId="2A3A953C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gearbox, couplings and torque meter</w:t>
            </w:r>
          </w:p>
          <w:p w14:paraId="247BF99D" w14:textId="77777777" w:rsidR="00C06904" w:rsidRDefault="00F93B48">
            <w:pPr>
              <w:spacing w:after="0" w:line="245" w:lineRule="auto"/>
            </w:pPr>
            <w:r>
              <w:rPr>
                <w:color w:val="1F1F1F"/>
                <w:sz w:val="15"/>
              </w:rPr>
              <w:t>• automation, control and measurement system</w:t>
            </w:r>
          </w:p>
        </w:tc>
        <w:tc>
          <w:tcPr>
            <w:tcW w:w="5273" w:type="dxa"/>
            <w:tcBorders>
              <w:top w:val="single" w:sz="8" w:space="0" w:color="C7D7DD"/>
              <w:left w:val="single" w:sz="8" w:space="0" w:color="C7D7DD"/>
              <w:bottom w:val="single" w:sz="8" w:space="0" w:color="C7D7DD"/>
              <w:right w:val="single" w:sz="8" w:space="0" w:color="C7D7DD"/>
            </w:tcBorders>
            <w:shd w:val="clear" w:color="auto" w:fill="F8FBFC"/>
            <w:tcMar>
              <w:top w:w="70" w:type="dxa"/>
              <w:left w:w="90" w:type="dxa"/>
              <w:bottom w:w="70" w:type="dxa"/>
              <w:right w:w="90" w:type="dxa"/>
            </w:tcMar>
          </w:tcPr>
          <w:p w14:paraId="4323B535" w14:textId="77777777" w:rsidR="00C06904" w:rsidRDefault="00C06904">
            <w:pPr>
              <w:spacing w:after="0"/>
            </w:pPr>
          </w:p>
          <w:p w14:paraId="4BEB7C6F" w14:textId="77777777" w:rsidR="00C06904" w:rsidRDefault="00F93B48">
            <w:pPr>
              <w:spacing w:after="40" w:line="240" w:lineRule="auto"/>
            </w:pPr>
            <w:r>
              <w:rPr>
                <w:b/>
                <w:color w:val="0F3B4C"/>
                <w:sz w:val="20"/>
              </w:rPr>
              <w:t>Key features</w:t>
            </w:r>
          </w:p>
          <w:p w14:paraId="2411816C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closed regenerative sCO₂ cycle</w:t>
            </w:r>
          </w:p>
          <w:p w14:paraId="4E9ED092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 xml:space="preserve">• </w:t>
            </w:r>
            <w:r>
              <w:rPr>
                <w:color w:val="1F1F1F"/>
                <w:sz w:val="15"/>
              </w:rPr>
              <w:t>compression close to the CO₂ critical point</w:t>
            </w:r>
          </w:p>
          <w:p w14:paraId="3DB43DB1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positive displacement vane-type compressor and expander</w:t>
            </w:r>
          </w:p>
          <w:p w14:paraId="46AF822C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direct shaft integration with the engine and a single generator</w:t>
            </w:r>
          </w:p>
          <w:p w14:paraId="5621A7C7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power control by expander bypass valve</w:t>
            </w:r>
          </w:p>
          <w:p w14:paraId="642E564E" w14:textId="2D4FA81B" w:rsidR="00C06904" w:rsidRDefault="00F93B48">
            <w:pPr>
              <w:spacing w:after="0" w:line="245" w:lineRule="auto"/>
            </w:pPr>
            <w:r>
              <w:rPr>
                <w:color w:val="1F1F1F"/>
                <w:sz w:val="15"/>
              </w:rPr>
              <w:t xml:space="preserve">• operation </w:t>
            </w:r>
            <w:r w:rsidR="00D34AC8">
              <w:rPr>
                <w:color w:val="1F1F1F"/>
                <w:sz w:val="15"/>
              </w:rPr>
              <w:t>designed</w:t>
            </w:r>
            <w:r>
              <w:rPr>
                <w:color w:val="1F1F1F"/>
                <w:sz w:val="15"/>
              </w:rPr>
              <w:t xml:space="preserve"> at nominal and 50% engine load</w:t>
            </w:r>
          </w:p>
          <w:p w14:paraId="60B1E672" w14:textId="77777777" w:rsidR="00C06904" w:rsidRDefault="00F93B48">
            <w:pPr>
              <w:spacing w:before="40" w:after="40" w:line="240" w:lineRule="auto"/>
            </w:pPr>
            <w:r>
              <w:rPr>
                <w:b/>
                <w:color w:val="0F3B4C"/>
                <w:sz w:val="20"/>
              </w:rPr>
              <w:t>Application areas</w:t>
            </w:r>
          </w:p>
          <w:p w14:paraId="23E283C6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natural-gas gensets and CHP units</w:t>
            </w:r>
          </w:p>
          <w:p w14:paraId="43E60D09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biogas and landfill-gas engines</w:t>
            </w:r>
          </w:p>
          <w:p w14:paraId="6B8EDE65" w14:textId="77777777" w:rsidR="00C06904" w:rsidRDefault="00F93B48">
            <w:pPr>
              <w:spacing w:after="10" w:line="245" w:lineRule="auto"/>
            </w:pPr>
            <w:r>
              <w:rPr>
                <w:color w:val="1F1F1F"/>
                <w:sz w:val="15"/>
              </w:rPr>
              <w:t>• distributed waste heat recovery systems</w:t>
            </w:r>
          </w:p>
          <w:p w14:paraId="62F6B782" w14:textId="77777777" w:rsidR="00C06904" w:rsidRDefault="00F93B48">
            <w:pPr>
              <w:spacing w:after="0" w:line="245" w:lineRule="auto"/>
            </w:pPr>
            <w:r>
              <w:rPr>
                <w:color w:val="1F1F1F"/>
                <w:sz w:val="15"/>
              </w:rPr>
              <w:t>• retrofit of existing reciprocating-engine plants</w:t>
            </w:r>
          </w:p>
        </w:tc>
      </w:tr>
    </w:tbl>
    <w:p w14:paraId="27F742EA" w14:textId="77777777" w:rsidR="00C06904" w:rsidRDefault="00F93B48">
      <w:pPr>
        <w:spacing w:before="60"/>
        <w:rPr>
          <w:i/>
          <w:color w:val="5A6C74"/>
          <w:sz w:val="15"/>
        </w:rPr>
      </w:pPr>
      <w:r>
        <w:rPr>
          <w:i/>
          <w:color w:val="5A6C74"/>
          <w:sz w:val="15"/>
        </w:rPr>
        <w:t>Project outcome status: validated prototype plus a basic engineering package for scale-up.</w:t>
      </w:r>
    </w:p>
    <w:p w14:paraId="0384691A" w14:textId="09C0B59C" w:rsidR="001B6E58" w:rsidRDefault="001B6E58">
      <w:pPr>
        <w:spacing w:before="60"/>
      </w:pPr>
      <w:r w:rsidRPr="005228C7">
        <w:drawing>
          <wp:inline distT="0" distB="0" distL="0" distR="0" wp14:anchorId="4103C6C3" wp14:editId="48ECFD4F">
            <wp:extent cx="847725" cy="719421"/>
            <wp:effectExtent l="0" t="0" r="0" b="5080"/>
            <wp:docPr id="451900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966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54940" cy="725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228C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46BE8AB4" wp14:editId="16DBEE6A">
            <wp:extent cx="744022" cy="742950"/>
            <wp:effectExtent l="0" t="0" r="0" b="0"/>
            <wp:docPr id="170833573" name="Picture 1" descr="logo PW / Images / Media - Wydział Chemiczny Politechniki Warszaw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W / Images / Media - Wydział Chemiczny Politechniki Warszawskiej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31" cy="753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B6E58" w:rsidSect="00034616">
      <w:pgSz w:w="11906" w:h="16838"/>
      <w:pgMar w:top="567" w:right="680" w:bottom="567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1480034">
    <w:abstractNumId w:val="8"/>
  </w:num>
  <w:num w:numId="2" w16cid:durableId="1520314386">
    <w:abstractNumId w:val="6"/>
  </w:num>
  <w:num w:numId="3" w16cid:durableId="724378287">
    <w:abstractNumId w:val="5"/>
  </w:num>
  <w:num w:numId="4" w16cid:durableId="580875366">
    <w:abstractNumId w:val="4"/>
  </w:num>
  <w:num w:numId="5" w16cid:durableId="2050716384">
    <w:abstractNumId w:val="7"/>
  </w:num>
  <w:num w:numId="6" w16cid:durableId="1904221781">
    <w:abstractNumId w:val="3"/>
  </w:num>
  <w:num w:numId="7" w16cid:durableId="52050068">
    <w:abstractNumId w:val="2"/>
  </w:num>
  <w:num w:numId="8" w16cid:durableId="1049525872">
    <w:abstractNumId w:val="1"/>
  </w:num>
  <w:num w:numId="9" w16cid:durableId="13783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51CF"/>
    <w:rsid w:val="0015074B"/>
    <w:rsid w:val="001B6E58"/>
    <w:rsid w:val="0029639D"/>
    <w:rsid w:val="002E677F"/>
    <w:rsid w:val="00326F90"/>
    <w:rsid w:val="005228C7"/>
    <w:rsid w:val="00AA1D8D"/>
    <w:rsid w:val="00B47730"/>
    <w:rsid w:val="00BA1EA0"/>
    <w:rsid w:val="00C06904"/>
    <w:rsid w:val="00CB0664"/>
    <w:rsid w:val="00D34AC8"/>
    <w:rsid w:val="00F93B4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B7D5AE"/>
  <w14:defaultImageDpi w14:val="300"/>
  <w15:docId w15:val="{ABE45C7C-E651-4338-8F44-604A9EC3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17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Martsinchyk Aliaksandr (DOKT)</cp:lastModifiedBy>
  <cp:revision>2</cp:revision>
  <dcterms:created xsi:type="dcterms:W3CDTF">2026-03-06T09:39:00Z</dcterms:created>
  <dcterms:modified xsi:type="dcterms:W3CDTF">2026-03-06T09:39:00Z</dcterms:modified>
  <cp:category/>
</cp:coreProperties>
</file>